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AC636C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Pr>
          <w:rFonts w:cs="Arial"/>
          <w:bCs/>
          <w:noProof w:val="0"/>
          <w:sz w:val="24"/>
        </w:rPr>
        <w:tab/>
      </w:r>
      <w:r w:rsidR="007C4813">
        <w:rPr>
          <w:rFonts w:cs="Arial"/>
          <w:bCs/>
          <w:noProof w:val="0"/>
          <w:sz w:val="24"/>
        </w:rPr>
        <w:t>R3-240800</w:t>
      </w:r>
    </w:p>
    <w:p w14:paraId="33EDC931" w14:textId="71348302" w:rsidR="00EE0733" w:rsidRDefault="00766C72" w:rsidP="002A37C8">
      <w:pPr>
        <w:pStyle w:val="CRCoverPage"/>
        <w:rPr>
          <w:b/>
          <w:noProof/>
          <w:sz w:val="24"/>
        </w:rPr>
      </w:pPr>
      <w:bookmarkStart w:id="2" w:name="_Hlk19781143"/>
      <w:r w:rsidRPr="00766C72">
        <w:rPr>
          <w:b/>
          <w:noProof/>
          <w:sz w:val="24"/>
        </w:rPr>
        <w:t>Athens, GR, 26 Feb – 01 Mar, 202</w:t>
      </w:r>
      <w:r w:rsidR="006F5D71">
        <w:rPr>
          <w:b/>
          <w:noProof/>
          <w:sz w:val="24"/>
        </w:rPr>
        <w:t>4</w:t>
      </w:r>
    </w:p>
    <w:bookmarkEnd w:id="0"/>
    <w:bookmarkEnd w:id="2"/>
    <w:p w14:paraId="444C2E19" w14:textId="77777777" w:rsidR="00EE0733" w:rsidRDefault="00EE0733" w:rsidP="00B70BDD">
      <w:pPr>
        <w:pStyle w:val="Header"/>
        <w:rPr>
          <w:rFonts w:cs="Arial"/>
          <w:bCs/>
          <w:noProof w:val="0"/>
          <w:sz w:val="24"/>
          <w:lang w:eastAsia="ja-JP"/>
        </w:rPr>
      </w:pPr>
    </w:p>
    <w:p w14:paraId="1703601B" w14:textId="3F7669A0" w:rsidR="005F436C" w:rsidRDefault="005F436C" w:rsidP="005F436C">
      <w:pPr>
        <w:pStyle w:val="a"/>
        <w:rPr>
          <w:lang w:eastAsia="ja-JP"/>
        </w:rPr>
      </w:pPr>
      <w:r>
        <w:t>Agenda Item:</w:t>
      </w:r>
      <w:r>
        <w:tab/>
      </w:r>
      <w:r w:rsidR="002D7691">
        <w:rPr>
          <w:lang w:eastAsia="zh-CN"/>
        </w:rPr>
        <w:t>8.1</w:t>
      </w:r>
    </w:p>
    <w:p w14:paraId="778AB5AF" w14:textId="22F42BF2" w:rsidR="005F436C" w:rsidRDefault="005F436C" w:rsidP="005F436C">
      <w:pPr>
        <w:pStyle w:val="a"/>
        <w:rPr>
          <w:lang w:eastAsia="ja-JP"/>
        </w:rPr>
      </w:pPr>
      <w:r>
        <w:t>Source:</w:t>
      </w:r>
      <w:r>
        <w:tab/>
      </w:r>
      <w:r w:rsidR="006137D5">
        <w:t>Huawei</w:t>
      </w:r>
    </w:p>
    <w:p w14:paraId="1F68FE86" w14:textId="2E9F7239" w:rsidR="005F436C" w:rsidRPr="00B50379" w:rsidRDefault="005F436C" w:rsidP="009A1081">
      <w:pPr>
        <w:pStyle w:val="a"/>
        <w:ind w:left="1985" w:hanging="1985"/>
        <w:rPr>
          <w:lang w:eastAsia="ja-JP"/>
        </w:rPr>
      </w:pPr>
      <w:r>
        <w:t>T</w:t>
      </w:r>
      <w:r w:rsidRPr="00B50379">
        <w:t>itle:</w:t>
      </w:r>
      <w:r w:rsidRPr="00B50379">
        <w:tab/>
      </w:r>
      <w:r w:rsidR="002D7691">
        <w:t xml:space="preserve">Response to </w:t>
      </w:r>
      <w:r w:rsidR="00956441" w:rsidRPr="00956441">
        <w:t xml:space="preserve">R3-240348 </w:t>
      </w:r>
      <w:r w:rsidR="00956441">
        <w:t xml:space="preserve">and </w:t>
      </w:r>
      <w:r w:rsidR="00956441" w:rsidRPr="00956441">
        <w:t>R3-240565</w:t>
      </w:r>
    </w:p>
    <w:p w14:paraId="19F92F93" w14:textId="57B227FA" w:rsidR="005F436C" w:rsidRDefault="005F436C" w:rsidP="005F436C">
      <w:pPr>
        <w:pStyle w:val="a"/>
        <w:rPr>
          <w:lang w:eastAsia="ja-JP"/>
        </w:rPr>
      </w:pPr>
      <w:r>
        <w:t>Document for:</w:t>
      </w:r>
      <w:r>
        <w:tab/>
      </w:r>
      <w:r w:rsidR="002D7691">
        <w:t>Response</w:t>
      </w:r>
    </w:p>
    <w:p w14:paraId="07A2EC87" w14:textId="2DE60478" w:rsidR="00EE0733" w:rsidRDefault="00EE0733" w:rsidP="00EE0733">
      <w:pPr>
        <w:pStyle w:val="Heading1"/>
        <w:rPr>
          <w:rFonts w:cs="Arial"/>
        </w:rPr>
      </w:pPr>
      <w:r>
        <w:rPr>
          <w:rFonts w:cs="Arial"/>
        </w:rPr>
        <w:t>1</w:t>
      </w:r>
      <w:r>
        <w:rPr>
          <w:rFonts w:cs="Arial"/>
        </w:rPr>
        <w:tab/>
        <w:t>Introduction</w:t>
      </w:r>
    </w:p>
    <w:p w14:paraId="2A42FFDA" w14:textId="451DFF7C" w:rsidR="00DD45A7" w:rsidRDefault="00DD45A7" w:rsidP="00713547">
      <w:r>
        <w:t xml:space="preserve">In [1], RAN2 feedback to RAN3 that </w:t>
      </w:r>
      <w:r w:rsidRPr="00DD45A7">
        <w:t>RAN2 agrees the benefits of the proposed solution from RAN3. The solution is feasible from RAN2 perspective and has small impacts on RAN2 spec, and RAN2 decided to agree on the related CR for TS 38.331 and 38.306.</w:t>
      </w:r>
      <w:r>
        <w:t xml:space="preserve"> Therefore in [7] and [8] it is proposed to update RAN3 call flow accordingly.</w:t>
      </w:r>
    </w:p>
    <w:p w14:paraId="78895CEE" w14:textId="77777777" w:rsidR="00DD45A7" w:rsidRDefault="00DD45A7" w:rsidP="00DD45A7">
      <w:r>
        <w:t>But in R3-240348 [3] [4] [5] [6] and R3-240565 [9] [10] [11], other new RAN3 based solutions are proposed.</w:t>
      </w:r>
    </w:p>
    <w:p w14:paraId="057947F2" w14:textId="056640B1" w:rsidR="00713547" w:rsidRPr="00713547" w:rsidRDefault="00713547" w:rsidP="00713547">
      <w:r>
        <w:t xml:space="preserve">In this contribution, we </w:t>
      </w:r>
      <w:r w:rsidR="00CA2A9E">
        <w:t>clarify</w:t>
      </w:r>
      <w:r>
        <w:t xml:space="preserve"> </w:t>
      </w:r>
      <w:r w:rsidR="0066589C">
        <w:t>the reason why</w:t>
      </w:r>
      <w:r>
        <w:t xml:space="preserve"> th</w:t>
      </w:r>
      <w:r w:rsidR="00DD45A7">
        <w:t>ese</w:t>
      </w:r>
      <w:r>
        <w:t xml:space="preserve"> new RAN3 solution</w:t>
      </w:r>
      <w:r w:rsidR="00DD45A7">
        <w:t>s</w:t>
      </w:r>
      <w:r>
        <w:t xml:space="preserve"> </w:t>
      </w:r>
      <w:r w:rsidR="00DD45A7">
        <w:t>are not proper ones to be adopted</w:t>
      </w:r>
      <w:r>
        <w:t>.</w:t>
      </w:r>
    </w:p>
    <w:p w14:paraId="58FED0C3" w14:textId="6ECE0785" w:rsidR="005C0A63" w:rsidRDefault="00090CD7" w:rsidP="00090CD7">
      <w:pPr>
        <w:pStyle w:val="Heading1"/>
      </w:pPr>
      <w:r>
        <w:rPr>
          <w:rFonts w:cs="Arial"/>
        </w:rPr>
        <w:t>2</w:t>
      </w:r>
      <w:r>
        <w:rPr>
          <w:rFonts w:cs="Arial"/>
        </w:rPr>
        <w:tab/>
      </w:r>
      <w:r w:rsidR="005C0A63" w:rsidRPr="00090CD7">
        <w:rPr>
          <w:rFonts w:cs="Arial"/>
        </w:rPr>
        <w:t>Discussion</w:t>
      </w:r>
    </w:p>
    <w:p w14:paraId="783A2E96" w14:textId="1E13E057" w:rsidR="00090CD7" w:rsidRPr="00090CD7" w:rsidRDefault="00090CD7" w:rsidP="00090CD7">
      <w:pPr>
        <w:outlineLvl w:val="1"/>
        <w:rPr>
          <w:rFonts w:ascii="Arial" w:hAnsi="Arial" w:cs="Arial"/>
          <w:sz w:val="28"/>
          <w:szCs w:val="28"/>
        </w:rPr>
      </w:pPr>
      <w:r w:rsidRPr="00090CD7">
        <w:rPr>
          <w:rFonts w:ascii="Arial" w:hAnsi="Arial" w:cs="Arial"/>
          <w:sz w:val="28"/>
          <w:szCs w:val="28"/>
        </w:rPr>
        <w:t xml:space="preserve">2.1 </w:t>
      </w:r>
      <w:r w:rsidR="00AC59F6">
        <w:rPr>
          <w:rFonts w:ascii="Arial" w:hAnsi="Arial" w:cs="Arial"/>
          <w:sz w:val="28"/>
          <w:szCs w:val="28"/>
        </w:rPr>
        <w:t>Response to</w:t>
      </w:r>
      <w:r w:rsidRPr="00090CD7">
        <w:rPr>
          <w:rFonts w:ascii="Arial" w:hAnsi="Arial" w:cs="Arial"/>
          <w:sz w:val="28"/>
          <w:szCs w:val="28"/>
        </w:rPr>
        <w:t xml:space="preserve"> R3-240348</w:t>
      </w:r>
    </w:p>
    <w:p w14:paraId="56E8EBDF" w14:textId="14552450" w:rsidR="00C945DB" w:rsidRDefault="00713547" w:rsidP="005C0A63">
      <w:r>
        <w:t>The new solution mentioned in R3-240348/49/50/51 is shown as below:</w:t>
      </w:r>
    </w:p>
    <w:tbl>
      <w:tblPr>
        <w:tblStyle w:val="TableGrid"/>
        <w:tblW w:w="0" w:type="auto"/>
        <w:shd w:val="pct5" w:color="auto" w:fill="auto"/>
        <w:tblLook w:val="04A0" w:firstRow="1" w:lastRow="0" w:firstColumn="1" w:lastColumn="0" w:noHBand="0" w:noVBand="1"/>
      </w:tblPr>
      <w:tblGrid>
        <w:gridCol w:w="9629"/>
      </w:tblGrid>
      <w:tr w:rsidR="00713547" w14:paraId="0F63FC71" w14:textId="77777777" w:rsidTr="00713547">
        <w:tc>
          <w:tcPr>
            <w:tcW w:w="9629" w:type="dxa"/>
            <w:shd w:val="pct5" w:color="auto" w:fill="auto"/>
          </w:tcPr>
          <w:p w14:paraId="5BB1B683" w14:textId="26CBBCC4" w:rsidR="00713547" w:rsidRPr="00625641" w:rsidRDefault="00713547" w:rsidP="00713547">
            <w:pPr>
              <w:spacing w:after="0"/>
              <w:rPr>
                <w:b/>
                <w:bCs/>
                <w:lang w:val="en-US" w:eastAsia="zh-CN"/>
              </w:rPr>
            </w:pPr>
            <w:bookmarkStart w:id="3" w:name="_Hlk139467131"/>
            <w:r>
              <w:rPr>
                <w:b/>
                <w:bCs/>
                <w:lang w:val="en-US" w:eastAsia="zh-CN"/>
              </w:rPr>
              <w:t>3. RRC setup solution with RAN3 impact for non-supporting UEs</w:t>
            </w:r>
          </w:p>
          <w:bookmarkEnd w:id="3"/>
          <w:p w14:paraId="47E61688" w14:textId="77777777" w:rsidR="00713547" w:rsidRDefault="00713547" w:rsidP="00713547">
            <w:pPr>
              <w:rPr>
                <w:lang w:val="en-US" w:eastAsia="zh-CN"/>
              </w:rPr>
            </w:pPr>
            <w:r w:rsidRPr="004B1238">
              <w:rPr>
                <w:lang w:val="en-US" w:eastAsia="zh-CN"/>
              </w:rPr>
              <w:t>For non</w:t>
            </w:r>
            <w:r>
              <w:rPr>
                <w:lang w:val="en-US" w:eastAsia="zh-CN"/>
              </w:rPr>
              <w:t>-</w:t>
            </w:r>
            <w:r w:rsidRPr="004B1238">
              <w:rPr>
                <w:lang w:val="en-US" w:eastAsia="zh-CN"/>
              </w:rPr>
              <w:t>supporting UEs</w:t>
            </w:r>
            <w:r>
              <w:rPr>
                <w:lang w:val="en-US" w:eastAsia="zh-CN"/>
              </w:rPr>
              <w:t xml:space="preserve">, a RAN3 solution could alternatively be used which consists in relocating the UE context over </w:t>
            </w:r>
            <w:proofErr w:type="spellStart"/>
            <w:r>
              <w:rPr>
                <w:lang w:val="en-US" w:eastAsia="zh-CN"/>
              </w:rPr>
              <w:t>Xn</w:t>
            </w:r>
            <w:proofErr w:type="spellEnd"/>
            <w:r>
              <w:rPr>
                <w:lang w:val="en-US" w:eastAsia="zh-CN"/>
              </w:rPr>
              <w:t xml:space="preserve"> and new serving </w:t>
            </w:r>
            <w:proofErr w:type="spellStart"/>
            <w:r>
              <w:rPr>
                <w:lang w:val="en-US" w:eastAsia="zh-CN"/>
              </w:rPr>
              <w:t>gNB</w:t>
            </w:r>
            <w:proofErr w:type="spellEnd"/>
            <w:r>
              <w:rPr>
                <w:lang w:val="en-US" w:eastAsia="zh-CN"/>
              </w:rPr>
              <w:t xml:space="preserve"> generating the classical RRC Setup. </w:t>
            </w:r>
          </w:p>
          <w:p w14:paraId="22DDFFE5" w14:textId="05691669" w:rsidR="00713547" w:rsidRDefault="00713547" w:rsidP="00713547">
            <w:pPr>
              <w:jc w:val="center"/>
              <w:rPr>
                <w:lang w:val="en-US" w:eastAsia="zh-CN"/>
              </w:rPr>
            </w:pPr>
            <w:r w:rsidRPr="00EF1248">
              <w:rPr>
                <w:noProof/>
                <w:lang w:val="en-US" w:eastAsia="zh-CN"/>
              </w:rPr>
              <w:drawing>
                <wp:inline distT="0" distB="0" distL="0" distR="0" wp14:anchorId="372D30B1" wp14:editId="4220F523">
                  <wp:extent cx="5296535" cy="332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6535" cy="3321050"/>
                          </a:xfrm>
                          <a:prstGeom prst="rect">
                            <a:avLst/>
                          </a:prstGeom>
                          <a:noFill/>
                          <a:ln>
                            <a:noFill/>
                          </a:ln>
                        </pic:spPr>
                      </pic:pic>
                    </a:graphicData>
                  </a:graphic>
                </wp:inline>
              </w:drawing>
            </w:r>
          </w:p>
          <w:p w14:paraId="39AEB455" w14:textId="77777777" w:rsidR="00713547" w:rsidRDefault="00713547" w:rsidP="00713547">
            <w:pPr>
              <w:jc w:val="center"/>
              <w:rPr>
                <w:lang w:val="en-US" w:eastAsia="zh-CN"/>
              </w:rPr>
            </w:pPr>
            <w:r w:rsidRPr="00205CDC">
              <w:rPr>
                <w:b/>
                <w:bCs/>
                <w:lang w:val="en-US" w:eastAsia="zh-CN"/>
              </w:rPr>
              <w:t xml:space="preserve">Figure </w:t>
            </w:r>
            <w:r>
              <w:rPr>
                <w:b/>
                <w:bCs/>
                <w:lang w:val="en-US" w:eastAsia="zh-CN"/>
              </w:rPr>
              <w:t>3</w:t>
            </w:r>
            <w:r>
              <w:rPr>
                <w:lang w:val="en-US" w:eastAsia="zh-CN"/>
              </w:rPr>
              <w:t>: Optimized switch from SDT to RRC connected after partial context transfer for non-supporting UEs but RAN3 impact</w:t>
            </w:r>
          </w:p>
          <w:p w14:paraId="4DD058A8" w14:textId="77777777" w:rsidR="00713547" w:rsidRPr="004B1238" w:rsidRDefault="00713547" w:rsidP="00713547">
            <w:pPr>
              <w:rPr>
                <w:lang w:val="en-US" w:eastAsia="zh-CN"/>
              </w:rPr>
            </w:pPr>
            <w:r>
              <w:rPr>
                <w:lang w:val="en-US" w:eastAsia="zh-CN"/>
              </w:rPr>
              <w:lastRenderedPageBreak/>
              <w:t>The advantage of the solution shown in figure 3 is that it is supported by all UEs as classical fallback mode.</w:t>
            </w:r>
          </w:p>
          <w:p w14:paraId="7BDE049D" w14:textId="06D394FB" w:rsidR="00713547" w:rsidRPr="00713547" w:rsidRDefault="00713547" w:rsidP="00713547">
            <w:pPr>
              <w:rPr>
                <w:lang w:val="en-US"/>
              </w:rPr>
            </w:pPr>
            <w:r>
              <w:rPr>
                <w:lang w:val="en-US" w:eastAsia="zh-CN"/>
              </w:rPr>
              <w:t xml:space="preserve">The drawback is that this requires </w:t>
            </w:r>
            <w:proofErr w:type="spellStart"/>
            <w:r>
              <w:rPr>
                <w:lang w:val="en-US" w:eastAsia="zh-CN"/>
              </w:rPr>
              <w:t>Xn</w:t>
            </w:r>
            <w:proofErr w:type="spellEnd"/>
            <w:r>
              <w:rPr>
                <w:lang w:val="en-US" w:eastAsia="zh-CN"/>
              </w:rPr>
              <w:t xml:space="preserve"> impact and receiving </w:t>
            </w:r>
            <w:proofErr w:type="spellStart"/>
            <w:r>
              <w:rPr>
                <w:lang w:val="en-US" w:eastAsia="zh-CN"/>
              </w:rPr>
              <w:t>gNB</w:t>
            </w:r>
            <w:proofErr w:type="spellEnd"/>
            <w:r>
              <w:rPr>
                <w:lang w:val="en-US" w:eastAsia="zh-CN"/>
              </w:rPr>
              <w:t xml:space="preserve"> impact because receiving </w:t>
            </w:r>
            <w:proofErr w:type="spellStart"/>
            <w:r>
              <w:rPr>
                <w:lang w:val="en-US" w:eastAsia="zh-CN"/>
              </w:rPr>
              <w:t>gNB</w:t>
            </w:r>
            <w:proofErr w:type="spellEnd"/>
            <w:r>
              <w:rPr>
                <w:lang w:val="en-US" w:eastAsia="zh-CN"/>
              </w:rPr>
              <w:t xml:space="preserve"> is no longer transparent.</w:t>
            </w:r>
          </w:p>
        </w:tc>
      </w:tr>
      <w:tr w:rsidR="00713547" w14:paraId="3A60989E" w14:textId="77777777" w:rsidTr="00713547">
        <w:tc>
          <w:tcPr>
            <w:tcW w:w="9629" w:type="dxa"/>
            <w:shd w:val="pct5" w:color="auto" w:fill="auto"/>
          </w:tcPr>
          <w:p w14:paraId="6931E665" w14:textId="77777777" w:rsidR="00713547" w:rsidRDefault="00713547" w:rsidP="00713547">
            <w:pPr>
              <w:spacing w:after="0"/>
              <w:ind w:left="360"/>
              <w:rPr>
                <w:b/>
                <w:bCs/>
                <w:lang w:val="en-US" w:eastAsia="zh-CN"/>
              </w:rPr>
            </w:pPr>
          </w:p>
        </w:tc>
      </w:tr>
    </w:tbl>
    <w:p w14:paraId="52AD47E1" w14:textId="7C241614" w:rsidR="00FC34E4" w:rsidRDefault="00A6623A" w:rsidP="004A07FF">
      <w:pPr>
        <w:spacing w:before="240"/>
      </w:pPr>
      <w:r>
        <w:rPr>
          <w:lang w:eastAsia="zh-CN"/>
        </w:rPr>
        <w:t xml:space="preserve">In this paper, the proponent </w:t>
      </w:r>
      <w:r w:rsidR="002A000B">
        <w:rPr>
          <w:lang w:eastAsia="zh-CN"/>
        </w:rPr>
        <w:t>thinks</w:t>
      </w:r>
      <w:r>
        <w:rPr>
          <w:lang w:eastAsia="zh-CN"/>
        </w:rPr>
        <w:t xml:space="preserve"> that the RAN2 adopted solution have a drawback </w:t>
      </w:r>
      <w:r>
        <w:rPr>
          <w:lang w:val="en-US" w:eastAsia="zh-CN"/>
        </w:rPr>
        <w:t>the solution is that it only works for UEs supporting the CR</w:t>
      </w:r>
      <w:r w:rsidR="00FC34E4">
        <w:rPr>
          <w:lang w:val="en-US" w:eastAsia="zh-CN"/>
        </w:rPr>
        <w:t xml:space="preserve">, but actually for the case in which the UE is not up to date, the legacy R17 procedure </w:t>
      </w:r>
      <w:r w:rsidR="00FC34E4">
        <w:t>of terminating the SDT procedure and paging the UE is still there and can be used.</w:t>
      </w:r>
    </w:p>
    <w:p w14:paraId="54B94EA3" w14:textId="19FBF9D0" w:rsidR="00A6623A" w:rsidRDefault="00FC34E4" w:rsidP="005C0A63">
      <w:r>
        <w:rPr>
          <w:lang w:val="en-US" w:eastAsia="zh-CN"/>
        </w:rPr>
        <w:t>On the other hand, f</w:t>
      </w:r>
      <w:r w:rsidR="00A6623A">
        <w:rPr>
          <w:lang w:val="en-US" w:eastAsia="zh-CN"/>
        </w:rPr>
        <w:t>rom our view</w:t>
      </w:r>
      <w:r w:rsidR="00A6623A" w:rsidRPr="00A6623A">
        <w:t xml:space="preserve"> </w:t>
      </w:r>
      <w:r w:rsidR="00A6623A">
        <w:t>this new</w:t>
      </w:r>
      <w:r w:rsidR="00D53422">
        <w:t>ly</w:t>
      </w:r>
      <w:r w:rsidR="00A6623A">
        <w:t xml:space="preserve"> proposed solution has many drawbacks:</w:t>
      </w:r>
    </w:p>
    <w:p w14:paraId="6C2785FC" w14:textId="41FE70D8" w:rsidR="00894031" w:rsidRDefault="00894031" w:rsidP="00894031">
      <w:r>
        <w:t>1)</w:t>
      </w:r>
      <w:r>
        <w:tab/>
        <w:t xml:space="preserve"> SDT procedure from RAN2 point of view is initiated with RRC Resume request and is terminated on receiving RRC Release message. There is no DL RRC message expected from RAN2 point of view during the SDT procedure. </w:t>
      </w:r>
    </w:p>
    <w:p w14:paraId="434C04DD" w14:textId="551A4BE7" w:rsidR="00894031" w:rsidRDefault="00894031" w:rsidP="00894031">
      <w:r>
        <w:t>2)</w:t>
      </w:r>
      <w:r>
        <w:tab/>
        <w:t>NW sending the RRC Setup in the middle of SDT procedure (</w:t>
      </w:r>
      <w:proofErr w:type="gramStart"/>
      <w:r>
        <w:t>i.e.</w:t>
      </w:r>
      <w:proofErr w:type="gramEnd"/>
      <w:r>
        <w:t xml:space="preserve"> after performing data transfer during SDT) is wired NW behaviour which will confuse the UE and will lead to undefined UE behaviour and will have RAN2 impacts as RAN 2 has never considered this situation.</w:t>
      </w:r>
    </w:p>
    <w:p w14:paraId="566376EA" w14:textId="01AE4040" w:rsidR="00894031" w:rsidRDefault="00894031" w:rsidP="00894031">
      <w:r>
        <w:t>3)</w:t>
      </w:r>
      <w:r>
        <w:tab/>
        <w:t xml:space="preserve">Immediate sending of RRC Setup in response to </w:t>
      </w:r>
      <w:proofErr w:type="spellStart"/>
      <w:r>
        <w:t>RRCResume</w:t>
      </w:r>
      <w:proofErr w:type="spellEnd"/>
      <w:r>
        <w:t xml:space="preserve"> request is only considered in RAN2 specs but not after the SDT data transmission is </w:t>
      </w:r>
      <w:proofErr w:type="spellStart"/>
      <w:r>
        <w:t>on going</w:t>
      </w:r>
      <w:proofErr w:type="spellEnd"/>
      <w:r>
        <w:t>.</w:t>
      </w:r>
    </w:p>
    <w:p w14:paraId="14E376B9" w14:textId="69315291" w:rsidR="00581363" w:rsidRDefault="00581363" w:rsidP="00894031">
      <w:r>
        <w:t>4)</w:t>
      </w:r>
      <w:r>
        <w:tab/>
        <w:t xml:space="preserve">Upon receiving the </w:t>
      </w:r>
      <w:proofErr w:type="spellStart"/>
      <w:r>
        <w:t>RRCSetup</w:t>
      </w:r>
      <w:proofErr w:type="spellEnd"/>
      <w:r>
        <w:t xml:space="preserve"> by the UE, the packets not successfully </w:t>
      </w:r>
      <w:proofErr w:type="spellStart"/>
      <w:r>
        <w:t>delievered</w:t>
      </w:r>
      <w:proofErr w:type="spellEnd"/>
      <w:r>
        <w:t xml:space="preserve"> will be lost, as the UE discards any stored UE Inactive AS context, release radio resources, RLC entities, PDCP entities, etc.</w:t>
      </w:r>
    </w:p>
    <w:p w14:paraId="3B0330EB" w14:textId="12556827" w:rsidR="00581363" w:rsidRDefault="00581363" w:rsidP="00894031">
      <w:r>
        <w:t>5)</w:t>
      </w:r>
      <w:r>
        <w:tab/>
        <w:t xml:space="preserve">Upon receiving the </w:t>
      </w:r>
      <w:proofErr w:type="spellStart"/>
      <w:r>
        <w:t>RRCSetup</w:t>
      </w:r>
      <w:proofErr w:type="spellEnd"/>
      <w:r>
        <w:t xml:space="preserve"> by the UE, the UE discards any current AS security, the </w:t>
      </w:r>
      <w:r w:rsidR="00AC59F6">
        <w:t>end-to-end</w:t>
      </w:r>
      <w:r>
        <w:t xml:space="preserve"> security activation procedure will take quite long time, which is even worse.</w:t>
      </w:r>
    </w:p>
    <w:p w14:paraId="4649A605" w14:textId="7D1DD007" w:rsidR="00A6623A" w:rsidRPr="00AC59F6" w:rsidRDefault="00581363" w:rsidP="005C0A63">
      <w:pPr>
        <w:rPr>
          <w:b/>
          <w:bCs/>
        </w:rPr>
      </w:pPr>
      <w:r w:rsidRPr="00AC59F6">
        <w:rPr>
          <w:b/>
          <w:bCs/>
        </w:rPr>
        <w:t>Conclusion 1: the new solution mentioned in R3-240348 is not</w:t>
      </w:r>
      <w:r w:rsidR="00AC59F6" w:rsidRPr="00AC59F6">
        <w:rPr>
          <w:b/>
          <w:bCs/>
        </w:rPr>
        <w:t xml:space="preserve"> proper to be adopted.</w:t>
      </w:r>
    </w:p>
    <w:p w14:paraId="29A8AF12" w14:textId="414CF0CD" w:rsidR="00090CD7" w:rsidRPr="00090CD7" w:rsidRDefault="00090CD7" w:rsidP="00090CD7">
      <w:pPr>
        <w:outlineLvl w:val="1"/>
        <w:rPr>
          <w:rFonts w:ascii="Arial" w:hAnsi="Arial" w:cs="Arial"/>
          <w:sz w:val="28"/>
          <w:szCs w:val="28"/>
        </w:rPr>
      </w:pPr>
      <w:r w:rsidRPr="00090CD7">
        <w:rPr>
          <w:rFonts w:ascii="Arial" w:hAnsi="Arial" w:cs="Arial"/>
          <w:sz w:val="28"/>
          <w:szCs w:val="28"/>
        </w:rPr>
        <w:t>2.</w:t>
      </w:r>
      <w:r>
        <w:rPr>
          <w:rFonts w:ascii="Arial" w:hAnsi="Arial" w:cs="Arial"/>
          <w:sz w:val="28"/>
          <w:szCs w:val="28"/>
        </w:rPr>
        <w:t>2</w:t>
      </w:r>
      <w:r w:rsidRPr="00090CD7">
        <w:rPr>
          <w:rFonts w:ascii="Arial" w:hAnsi="Arial" w:cs="Arial"/>
          <w:sz w:val="28"/>
          <w:szCs w:val="28"/>
        </w:rPr>
        <w:t xml:space="preserve"> </w:t>
      </w:r>
      <w:r w:rsidR="00AC59F6">
        <w:rPr>
          <w:rFonts w:ascii="Arial" w:hAnsi="Arial" w:cs="Arial"/>
          <w:sz w:val="28"/>
          <w:szCs w:val="28"/>
        </w:rPr>
        <w:t>Response to</w:t>
      </w:r>
      <w:r w:rsidRPr="00090CD7">
        <w:rPr>
          <w:rFonts w:ascii="Arial" w:hAnsi="Arial" w:cs="Arial"/>
          <w:sz w:val="28"/>
          <w:szCs w:val="28"/>
        </w:rPr>
        <w:t xml:space="preserve"> R3-240</w:t>
      </w:r>
      <w:r>
        <w:rPr>
          <w:rFonts w:ascii="Arial" w:hAnsi="Arial" w:cs="Arial"/>
          <w:sz w:val="28"/>
          <w:szCs w:val="28"/>
        </w:rPr>
        <w:t>565</w:t>
      </w:r>
    </w:p>
    <w:p w14:paraId="2B2B2D81" w14:textId="1B2B5FFF" w:rsidR="00AC59F6" w:rsidRDefault="00AC59F6" w:rsidP="00AC59F6">
      <w:r>
        <w:t>The new solution mentioned in R3-240</w:t>
      </w:r>
      <w:r>
        <w:rPr>
          <w:rFonts w:hint="eastAsia"/>
          <w:lang w:eastAsia="zh-CN"/>
        </w:rPr>
        <w:t>565/566/567</w:t>
      </w:r>
      <w:r>
        <w:t xml:space="preserve"> is shown as below:</w:t>
      </w:r>
    </w:p>
    <w:tbl>
      <w:tblPr>
        <w:tblStyle w:val="TableGrid"/>
        <w:tblW w:w="0" w:type="auto"/>
        <w:shd w:val="pct5" w:color="auto" w:fill="auto"/>
        <w:tblLook w:val="04A0" w:firstRow="1" w:lastRow="0" w:firstColumn="1" w:lastColumn="0" w:noHBand="0" w:noVBand="1"/>
      </w:tblPr>
      <w:tblGrid>
        <w:gridCol w:w="9629"/>
      </w:tblGrid>
      <w:tr w:rsidR="00AC59F6" w14:paraId="39409A85" w14:textId="77777777" w:rsidTr="00AC59F6">
        <w:tc>
          <w:tcPr>
            <w:tcW w:w="9629" w:type="dxa"/>
            <w:shd w:val="pct5" w:color="auto" w:fill="auto"/>
          </w:tcPr>
          <w:p w14:paraId="2A988C06" w14:textId="6D1DA7B2" w:rsidR="00AC59F6" w:rsidRDefault="00AC59F6" w:rsidP="002A000B">
            <w:pPr>
              <w:overflowPunct w:val="0"/>
              <w:autoSpaceDE w:val="0"/>
              <w:autoSpaceDN w:val="0"/>
              <w:adjustRightInd w:val="0"/>
              <w:textAlignment w:val="baseline"/>
            </w:pPr>
            <w:r>
              <w:rPr>
                <w:lang w:eastAsia="ja-JP"/>
              </w:rPr>
              <w:t xml:space="preserve">upon receiving DL non SDT data (from the CN), the anchor </w:t>
            </w:r>
            <w:proofErr w:type="spellStart"/>
            <w:r>
              <w:rPr>
                <w:lang w:eastAsia="ja-JP"/>
              </w:rPr>
              <w:t>gNB</w:t>
            </w:r>
            <w:proofErr w:type="spellEnd"/>
            <w:r>
              <w:rPr>
                <w:lang w:eastAsia="ja-JP"/>
              </w:rPr>
              <w:t xml:space="preserve"> (i.e., Last Serving </w:t>
            </w:r>
            <w:proofErr w:type="spellStart"/>
            <w:r>
              <w:rPr>
                <w:lang w:eastAsia="ja-JP"/>
              </w:rPr>
              <w:t>gNB</w:t>
            </w:r>
            <w:proofErr w:type="spellEnd"/>
            <w:r>
              <w:rPr>
                <w:lang w:eastAsia="ja-JP"/>
              </w:rPr>
              <w:t xml:space="preserve">) sends a new indication to the receiving </w:t>
            </w:r>
            <w:proofErr w:type="spellStart"/>
            <w:r>
              <w:rPr>
                <w:lang w:eastAsia="ja-JP"/>
              </w:rPr>
              <w:t>gNB</w:t>
            </w:r>
            <w:proofErr w:type="spellEnd"/>
            <w:r>
              <w:rPr>
                <w:lang w:eastAsia="ja-JP"/>
              </w:rPr>
              <w:t xml:space="preserve"> to inform it that SDT transaction is terminated, due to </w:t>
            </w:r>
            <w:proofErr w:type="gramStart"/>
            <w:r>
              <w:rPr>
                <w:lang w:eastAsia="ja-JP"/>
              </w:rPr>
              <w:t>e.g.</w:t>
            </w:r>
            <w:proofErr w:type="gramEnd"/>
            <w:r>
              <w:rPr>
                <w:lang w:eastAsia="ja-JP"/>
              </w:rPr>
              <w:t xml:space="preserve"> DL non SDT Data arrival, and to inquire the Receiving </w:t>
            </w:r>
            <w:proofErr w:type="spellStart"/>
            <w:r>
              <w:rPr>
                <w:lang w:eastAsia="ja-JP"/>
              </w:rPr>
              <w:t>gNB</w:t>
            </w:r>
            <w:proofErr w:type="spellEnd"/>
            <w:r>
              <w:rPr>
                <w:lang w:eastAsia="ja-JP"/>
              </w:rPr>
              <w:t xml:space="preserve"> to start a UE context retrieval request. The new indication can be signalled in the </w:t>
            </w:r>
            <w:proofErr w:type="spellStart"/>
            <w:r>
              <w:rPr>
                <w:lang w:eastAsia="ja-JP"/>
              </w:rPr>
              <w:t>XnAP</w:t>
            </w:r>
            <w:proofErr w:type="spellEnd"/>
            <w:r>
              <w:rPr>
                <w:lang w:eastAsia="ja-JP"/>
              </w:rPr>
              <w:t xml:space="preserve"> RETRIEVE UE CONTEXT FAILURE message. Upon receiving the new indication from the anchor </w:t>
            </w:r>
            <w:proofErr w:type="spellStart"/>
            <w:r>
              <w:rPr>
                <w:lang w:eastAsia="ja-JP"/>
              </w:rPr>
              <w:t>gNB</w:t>
            </w:r>
            <w:proofErr w:type="spellEnd"/>
            <w:r>
              <w:rPr>
                <w:lang w:eastAsia="ja-JP"/>
              </w:rPr>
              <w:t xml:space="preserve">, the Receiving </w:t>
            </w:r>
            <w:proofErr w:type="spellStart"/>
            <w:r>
              <w:rPr>
                <w:lang w:eastAsia="ja-JP"/>
              </w:rPr>
              <w:t>gNB</w:t>
            </w:r>
            <w:proofErr w:type="spellEnd"/>
            <w:r>
              <w:rPr>
                <w:lang w:eastAsia="ja-JP"/>
              </w:rPr>
              <w:t xml:space="preserve"> starts a new </w:t>
            </w:r>
            <w:proofErr w:type="spellStart"/>
            <w:r>
              <w:rPr>
                <w:lang w:eastAsia="ja-JP"/>
              </w:rPr>
              <w:t>XnAP</w:t>
            </w:r>
            <w:proofErr w:type="spellEnd"/>
            <w:r>
              <w:rPr>
                <w:lang w:eastAsia="ja-JP"/>
              </w:rPr>
              <w:t xml:space="preserve"> RETRIEVE UE CONTEXT REQUEST message again to fetch the full UE context. Once the UE’s context is fully relocated from the anchor </w:t>
            </w:r>
            <w:proofErr w:type="spellStart"/>
            <w:r>
              <w:rPr>
                <w:lang w:eastAsia="ja-JP"/>
              </w:rPr>
              <w:t>gNB</w:t>
            </w:r>
            <w:proofErr w:type="spellEnd"/>
            <w:r>
              <w:rPr>
                <w:lang w:eastAsia="ja-JP"/>
              </w:rPr>
              <w:t xml:space="preserve">, the receiving </w:t>
            </w:r>
            <w:proofErr w:type="spellStart"/>
            <w:r>
              <w:rPr>
                <w:lang w:eastAsia="ja-JP"/>
              </w:rPr>
              <w:t>gNB</w:t>
            </w:r>
            <w:proofErr w:type="spellEnd"/>
            <w:r>
              <w:rPr>
                <w:lang w:eastAsia="ja-JP"/>
              </w:rPr>
              <w:t xml:space="preserve"> can configure the UE to send it to RRC_CONNECTED state directly, without release, avoiding RRC signalling and paging costs.</w:t>
            </w:r>
          </w:p>
        </w:tc>
      </w:tr>
    </w:tbl>
    <w:p w14:paraId="41EA149C" w14:textId="23609691" w:rsidR="00AC59F6" w:rsidRDefault="00D53422" w:rsidP="004A07FF">
      <w:pPr>
        <w:spacing w:before="240"/>
      </w:pPr>
      <w:r>
        <w:t>This newly proposed solution ha</w:t>
      </w:r>
      <w:r w:rsidR="00A67881">
        <w:t>s</w:t>
      </w:r>
      <w:r>
        <w:t xml:space="preserve"> security issue, as s</w:t>
      </w:r>
      <w:r w:rsidR="00AC59F6">
        <w:t xml:space="preserve">ame keys which were used in the last serving </w:t>
      </w:r>
      <w:proofErr w:type="spellStart"/>
      <w:r w:rsidR="00AC59F6">
        <w:t>gNB</w:t>
      </w:r>
      <w:proofErr w:type="spellEnd"/>
      <w:r w:rsidR="00AC59F6">
        <w:t xml:space="preserve"> when the SDT was ongoing cannot be used after relocating the context to the receiving </w:t>
      </w:r>
      <w:proofErr w:type="spellStart"/>
      <w:r w:rsidR="00AC59F6">
        <w:t>gNB.</w:t>
      </w:r>
      <w:r>
        <w:t>And</w:t>
      </w:r>
      <w:proofErr w:type="spellEnd"/>
      <w:r>
        <w:t xml:space="preserve"> i</w:t>
      </w:r>
      <w:r w:rsidR="00AC59F6">
        <w:t>f the keys have to be changed on the fly</w:t>
      </w:r>
      <w:r>
        <w:t>,</w:t>
      </w:r>
      <w:r w:rsidR="00AC59F6">
        <w:t xml:space="preserve"> NH and NCC have to be signalled to the UE in DL RRC message which will have RAN2 impact.</w:t>
      </w:r>
      <w:r>
        <w:t xml:space="preserve"> </w:t>
      </w:r>
      <w:r w:rsidR="00AC59F6">
        <w:t xml:space="preserve">Hence the receiving </w:t>
      </w:r>
      <w:proofErr w:type="spellStart"/>
      <w:r w:rsidR="00AC59F6">
        <w:t>gNB</w:t>
      </w:r>
      <w:proofErr w:type="spellEnd"/>
      <w:r w:rsidR="00AC59F6">
        <w:t xml:space="preserve"> cannot bringing the UE to RRC connected as described here without breaking the SA3 requirement that the same keys cannot be used across different nodes. </w:t>
      </w:r>
    </w:p>
    <w:p w14:paraId="0C7EFB7E" w14:textId="0FEAF520" w:rsidR="00D53422" w:rsidRPr="00AC59F6" w:rsidRDefault="00D53422" w:rsidP="00D53422">
      <w:pPr>
        <w:rPr>
          <w:b/>
          <w:bCs/>
        </w:rPr>
      </w:pPr>
      <w:r w:rsidRPr="00AC59F6">
        <w:rPr>
          <w:b/>
          <w:bCs/>
        </w:rPr>
        <w:t xml:space="preserve">Conclusion </w:t>
      </w:r>
      <w:r>
        <w:rPr>
          <w:b/>
          <w:bCs/>
        </w:rPr>
        <w:t>2</w:t>
      </w:r>
      <w:r w:rsidRPr="00AC59F6">
        <w:rPr>
          <w:b/>
          <w:bCs/>
        </w:rPr>
        <w:t>: the new solution mentioned in R3-240</w:t>
      </w:r>
      <w:r>
        <w:rPr>
          <w:b/>
          <w:bCs/>
        </w:rPr>
        <w:t>565</w:t>
      </w:r>
      <w:r w:rsidRPr="00AC59F6">
        <w:rPr>
          <w:b/>
          <w:bCs/>
        </w:rPr>
        <w:t xml:space="preserve"> is not proper to be adopted.</w:t>
      </w:r>
    </w:p>
    <w:p w14:paraId="0240E1FD" w14:textId="35EDAF87" w:rsidR="005C0A63" w:rsidRDefault="005C0A63" w:rsidP="005C0A63">
      <w:pPr>
        <w:pStyle w:val="Heading1"/>
      </w:pPr>
      <w:r>
        <w:t>3</w:t>
      </w:r>
      <w:r>
        <w:tab/>
        <w:t>Conclusion</w:t>
      </w:r>
    </w:p>
    <w:p w14:paraId="7A739812" w14:textId="0C6E54E1" w:rsidR="00956441" w:rsidRDefault="00D53422" w:rsidP="00956441">
      <w:r>
        <w:t>In this response paper, we analyse issues of the two new solution</w:t>
      </w:r>
      <w:r w:rsidR="00D6170D">
        <w:t>s</w:t>
      </w:r>
      <w:r>
        <w:t xml:space="preserve"> proposed in R3-240348 and R3-240565, and get the following proposals:</w:t>
      </w:r>
    </w:p>
    <w:p w14:paraId="7712F6E6" w14:textId="77777777" w:rsidR="00D53422" w:rsidRPr="00AC59F6" w:rsidRDefault="00D53422" w:rsidP="00D53422">
      <w:pPr>
        <w:rPr>
          <w:b/>
          <w:bCs/>
        </w:rPr>
      </w:pPr>
      <w:r w:rsidRPr="00AC59F6">
        <w:rPr>
          <w:b/>
          <w:bCs/>
        </w:rPr>
        <w:t>Conclusion 1: the new solution mentioned in R3-240348 is not proper to be adopted.</w:t>
      </w:r>
    </w:p>
    <w:p w14:paraId="2D96CA12" w14:textId="0CD2D967" w:rsidR="00D53422" w:rsidRPr="00AC59F6" w:rsidRDefault="00D53422" w:rsidP="00D53422">
      <w:pPr>
        <w:rPr>
          <w:b/>
          <w:bCs/>
        </w:rPr>
      </w:pPr>
      <w:r w:rsidRPr="00AC59F6">
        <w:rPr>
          <w:b/>
          <w:bCs/>
        </w:rPr>
        <w:t xml:space="preserve">Conclusion </w:t>
      </w:r>
      <w:r>
        <w:rPr>
          <w:b/>
          <w:bCs/>
        </w:rPr>
        <w:t>2</w:t>
      </w:r>
      <w:r w:rsidRPr="00AC59F6">
        <w:rPr>
          <w:b/>
          <w:bCs/>
        </w:rPr>
        <w:t>: the new solution mentioned in R3-240</w:t>
      </w:r>
      <w:r>
        <w:rPr>
          <w:b/>
          <w:bCs/>
        </w:rPr>
        <w:t>565</w:t>
      </w:r>
      <w:r w:rsidRPr="00AC59F6">
        <w:rPr>
          <w:b/>
          <w:bCs/>
        </w:rPr>
        <w:t xml:space="preserve"> is not proper to be adopted.</w:t>
      </w:r>
    </w:p>
    <w:p w14:paraId="04F9D128" w14:textId="42D9DC85" w:rsidR="00D53422" w:rsidRDefault="00D53422" w:rsidP="00956441">
      <w:r>
        <w:t>On the other hand, with the RAN2 adopted solution, RAN3 need to update our call flows as proposed in R3-240257 and R3-240258.</w:t>
      </w:r>
    </w:p>
    <w:p w14:paraId="3AEDA518" w14:textId="06E75955" w:rsidR="0021675A" w:rsidRPr="0021675A" w:rsidRDefault="0021675A" w:rsidP="00956441">
      <w:pPr>
        <w:rPr>
          <w:b/>
          <w:bCs/>
        </w:rPr>
      </w:pPr>
      <w:r w:rsidRPr="0021675A">
        <w:rPr>
          <w:b/>
          <w:bCs/>
        </w:rPr>
        <w:lastRenderedPageBreak/>
        <w:t xml:space="preserve">Proposal: update the RAN3 call flows as proposals </w:t>
      </w:r>
      <w:r>
        <w:rPr>
          <w:b/>
          <w:bCs/>
        </w:rPr>
        <w:t>as proposed in R3-240257 and R3-240258.</w:t>
      </w:r>
    </w:p>
    <w:p w14:paraId="084A082D" w14:textId="292339FA" w:rsidR="00956441" w:rsidRDefault="00956441" w:rsidP="00956441">
      <w:pPr>
        <w:pStyle w:val="Heading1"/>
      </w:pPr>
      <w:r>
        <w:t>4</w:t>
      </w:r>
      <w:r>
        <w:tab/>
        <w:t>Reference</w:t>
      </w:r>
    </w:p>
    <w:tbl>
      <w:tblPr>
        <w:tblStyle w:val="TableGrid"/>
        <w:tblW w:w="0" w:type="auto"/>
        <w:tblLook w:val="04A0" w:firstRow="1" w:lastRow="0" w:firstColumn="1" w:lastColumn="0" w:noHBand="0" w:noVBand="1"/>
      </w:tblPr>
      <w:tblGrid>
        <w:gridCol w:w="846"/>
        <w:gridCol w:w="1417"/>
        <w:gridCol w:w="4958"/>
        <w:gridCol w:w="2408"/>
      </w:tblGrid>
      <w:tr w:rsidR="00DD45A7" w14:paraId="1304DAC0" w14:textId="77777777" w:rsidTr="00DD45A7">
        <w:tc>
          <w:tcPr>
            <w:tcW w:w="846" w:type="dxa"/>
          </w:tcPr>
          <w:p w14:paraId="042F8C2A" w14:textId="289718D6" w:rsidR="00DD45A7" w:rsidRDefault="00DD45A7" w:rsidP="00DD45A7">
            <w:r>
              <w:t>[1]</w:t>
            </w:r>
          </w:p>
        </w:tc>
        <w:tc>
          <w:tcPr>
            <w:tcW w:w="1417" w:type="dxa"/>
          </w:tcPr>
          <w:p w14:paraId="2F20CC80" w14:textId="1F538B72" w:rsidR="00DD45A7" w:rsidRDefault="00C51682" w:rsidP="00DD45A7">
            <w:hyperlink r:id="rId10" w:history="1">
              <w:r w:rsidR="00DD45A7" w:rsidRPr="00D45D46">
                <w:rPr>
                  <w:rFonts w:ascii="Calibri" w:hAnsi="Calibri" w:cs="Calibri"/>
                  <w:sz w:val="18"/>
                  <w:szCs w:val="24"/>
                  <w:highlight w:val="yellow"/>
                </w:rPr>
                <w:t>R3-240015</w:t>
              </w:r>
            </w:hyperlink>
          </w:p>
        </w:tc>
        <w:tc>
          <w:tcPr>
            <w:tcW w:w="4958" w:type="dxa"/>
          </w:tcPr>
          <w:p w14:paraId="1852088B" w14:textId="63194EEE" w:rsidR="00DD45A7" w:rsidRDefault="00DD45A7" w:rsidP="00DD45A7">
            <w:r w:rsidRPr="00D45D46">
              <w:rPr>
                <w:rFonts w:ascii="Calibri" w:hAnsi="Calibri" w:cs="Calibri"/>
                <w:sz w:val="18"/>
                <w:szCs w:val="24"/>
              </w:rPr>
              <w:t>Reply LS on SDT signalling optimization for partial context transfer (RAN2(Qualcomm))</w:t>
            </w:r>
          </w:p>
        </w:tc>
        <w:tc>
          <w:tcPr>
            <w:tcW w:w="2408" w:type="dxa"/>
          </w:tcPr>
          <w:p w14:paraId="1E1E7F42" w14:textId="5CF5FB58" w:rsidR="00DD45A7" w:rsidRDefault="00DD45A7" w:rsidP="00DD45A7">
            <w:r w:rsidRPr="00D45D46">
              <w:rPr>
                <w:rFonts w:ascii="Calibri" w:hAnsi="Calibri" w:cs="Calibri"/>
                <w:sz w:val="18"/>
                <w:szCs w:val="24"/>
              </w:rPr>
              <w:t>LS in</w:t>
            </w:r>
          </w:p>
        </w:tc>
      </w:tr>
      <w:tr w:rsidR="00DD45A7" w14:paraId="04AC6713" w14:textId="77777777" w:rsidTr="00DD45A7">
        <w:tc>
          <w:tcPr>
            <w:tcW w:w="846" w:type="dxa"/>
          </w:tcPr>
          <w:p w14:paraId="3C48AE13" w14:textId="3862B64C" w:rsidR="00DD45A7" w:rsidRDefault="00DD45A7" w:rsidP="00DD45A7">
            <w:r>
              <w:t>[2]</w:t>
            </w:r>
          </w:p>
        </w:tc>
        <w:tc>
          <w:tcPr>
            <w:tcW w:w="1417" w:type="dxa"/>
          </w:tcPr>
          <w:p w14:paraId="4B4ADCD4" w14:textId="63B8349C" w:rsidR="00DD45A7" w:rsidRDefault="00C51682" w:rsidP="00DD45A7">
            <w:hyperlink r:id="rId11" w:history="1">
              <w:r w:rsidR="00DD45A7" w:rsidRPr="00D45D46">
                <w:rPr>
                  <w:rFonts w:ascii="Calibri" w:hAnsi="Calibri" w:cs="Calibri"/>
                  <w:sz w:val="18"/>
                  <w:szCs w:val="24"/>
                  <w:highlight w:val="yellow"/>
                </w:rPr>
                <w:t>R3-240221</w:t>
              </w:r>
            </w:hyperlink>
          </w:p>
        </w:tc>
        <w:tc>
          <w:tcPr>
            <w:tcW w:w="4958" w:type="dxa"/>
          </w:tcPr>
          <w:p w14:paraId="12068743" w14:textId="2CC7361D" w:rsidR="00DD45A7" w:rsidRDefault="00DD45A7" w:rsidP="00DD45A7">
            <w:r w:rsidRPr="00D45D46">
              <w:rPr>
                <w:rFonts w:ascii="Calibri" w:hAnsi="Calibri" w:cs="Calibri"/>
                <w:sz w:val="18"/>
                <w:szCs w:val="24"/>
              </w:rPr>
              <w:t>Optimization on handling of DL non-SDT in case of RA-SDT without UE anchor relocation (CATT)</w:t>
            </w:r>
          </w:p>
        </w:tc>
        <w:tc>
          <w:tcPr>
            <w:tcW w:w="2408" w:type="dxa"/>
          </w:tcPr>
          <w:p w14:paraId="1F7FCB71" w14:textId="7173D085" w:rsidR="00DD45A7" w:rsidRDefault="00DD45A7" w:rsidP="00DD45A7">
            <w:proofErr w:type="spellStart"/>
            <w:r w:rsidRPr="00D45D46">
              <w:rPr>
                <w:rFonts w:ascii="Calibri" w:hAnsi="Calibri" w:cs="Calibri"/>
                <w:sz w:val="18"/>
                <w:szCs w:val="24"/>
              </w:rPr>
              <w:t>draftCR</w:t>
            </w:r>
            <w:proofErr w:type="spellEnd"/>
          </w:p>
        </w:tc>
      </w:tr>
      <w:tr w:rsidR="00DD45A7" w14:paraId="46E2BA10" w14:textId="77777777" w:rsidTr="00DD45A7">
        <w:tc>
          <w:tcPr>
            <w:tcW w:w="846" w:type="dxa"/>
          </w:tcPr>
          <w:p w14:paraId="64FB0025" w14:textId="0EF19377" w:rsidR="00DD45A7" w:rsidRDefault="00DD45A7" w:rsidP="00DD45A7">
            <w:r>
              <w:t>[3]</w:t>
            </w:r>
          </w:p>
        </w:tc>
        <w:tc>
          <w:tcPr>
            <w:tcW w:w="1417" w:type="dxa"/>
          </w:tcPr>
          <w:p w14:paraId="0C4166C8" w14:textId="0313844B" w:rsidR="00DD45A7" w:rsidRDefault="00C51682" w:rsidP="00DD45A7">
            <w:hyperlink r:id="rId12" w:history="1">
              <w:r w:rsidR="00DD45A7" w:rsidRPr="00D45D46">
                <w:rPr>
                  <w:rFonts w:ascii="Calibri" w:hAnsi="Calibri" w:cs="Calibri"/>
                  <w:sz w:val="18"/>
                  <w:szCs w:val="24"/>
                  <w:highlight w:val="yellow"/>
                </w:rPr>
                <w:t>R3-240348</w:t>
              </w:r>
            </w:hyperlink>
          </w:p>
        </w:tc>
        <w:tc>
          <w:tcPr>
            <w:tcW w:w="4958" w:type="dxa"/>
          </w:tcPr>
          <w:p w14:paraId="4410CA3E" w14:textId="1EC6DC08" w:rsidR="00DD45A7" w:rsidRDefault="00DD45A7" w:rsidP="00DD45A7">
            <w:r w:rsidRPr="00D45D46">
              <w:rPr>
                <w:rFonts w:ascii="Calibri" w:hAnsi="Calibri" w:cs="Calibri"/>
                <w:sz w:val="18"/>
                <w:szCs w:val="24"/>
              </w:rPr>
              <w:t>Switch to RRC Connected after SDT Partial Context Transfer (Nokia, Nokia Shanghai Bell)</w:t>
            </w:r>
          </w:p>
        </w:tc>
        <w:tc>
          <w:tcPr>
            <w:tcW w:w="2408" w:type="dxa"/>
          </w:tcPr>
          <w:p w14:paraId="532B8038" w14:textId="4DF3EDE2" w:rsidR="00DD45A7" w:rsidRDefault="00DD45A7" w:rsidP="00DD45A7">
            <w:r w:rsidRPr="00D45D46">
              <w:rPr>
                <w:rFonts w:ascii="Calibri" w:hAnsi="Calibri" w:cs="Calibri"/>
                <w:sz w:val="18"/>
                <w:szCs w:val="24"/>
              </w:rPr>
              <w:t>discussion</w:t>
            </w:r>
          </w:p>
        </w:tc>
      </w:tr>
      <w:tr w:rsidR="00DD45A7" w14:paraId="295C74F4" w14:textId="77777777" w:rsidTr="00DD45A7">
        <w:tc>
          <w:tcPr>
            <w:tcW w:w="846" w:type="dxa"/>
          </w:tcPr>
          <w:p w14:paraId="0308C9DD" w14:textId="029D8229" w:rsidR="00DD45A7" w:rsidRDefault="00DD45A7" w:rsidP="00DD45A7">
            <w:r>
              <w:t>[4]</w:t>
            </w:r>
          </w:p>
        </w:tc>
        <w:tc>
          <w:tcPr>
            <w:tcW w:w="1417" w:type="dxa"/>
          </w:tcPr>
          <w:p w14:paraId="0334D2CB" w14:textId="21F9D2D1" w:rsidR="00DD45A7" w:rsidRDefault="00C51682" w:rsidP="00DD45A7">
            <w:hyperlink r:id="rId13" w:history="1">
              <w:r w:rsidR="00DD45A7" w:rsidRPr="00D45D46">
                <w:rPr>
                  <w:rFonts w:ascii="Calibri" w:hAnsi="Calibri" w:cs="Calibri"/>
                  <w:sz w:val="18"/>
                  <w:szCs w:val="24"/>
                  <w:highlight w:val="yellow"/>
                </w:rPr>
                <w:t>R3-240349</w:t>
              </w:r>
            </w:hyperlink>
          </w:p>
        </w:tc>
        <w:tc>
          <w:tcPr>
            <w:tcW w:w="4958" w:type="dxa"/>
          </w:tcPr>
          <w:p w14:paraId="1C876F5F" w14:textId="08195BFE" w:rsidR="00DD45A7" w:rsidRDefault="00DD45A7" w:rsidP="00DD45A7">
            <w:r w:rsidRPr="00D45D46">
              <w:rPr>
                <w:rFonts w:ascii="Calibri" w:hAnsi="Calibri" w:cs="Calibri"/>
                <w:sz w:val="18"/>
                <w:szCs w:val="24"/>
              </w:rPr>
              <w:t>Correction of switch to RRC connected after SDT Partial Context Transfer (Nokia, Nokia Shanghai Bell)</w:t>
            </w:r>
          </w:p>
        </w:tc>
        <w:tc>
          <w:tcPr>
            <w:tcW w:w="2408" w:type="dxa"/>
          </w:tcPr>
          <w:p w14:paraId="12C84DC7" w14:textId="4FEADE5D" w:rsidR="00DD45A7" w:rsidRDefault="00DD45A7" w:rsidP="00DD45A7">
            <w:proofErr w:type="spellStart"/>
            <w:r w:rsidRPr="00D45D46">
              <w:rPr>
                <w:rFonts w:ascii="Calibri" w:hAnsi="Calibri" w:cs="Calibri"/>
                <w:sz w:val="18"/>
                <w:szCs w:val="24"/>
              </w:rPr>
              <w:t>draftCR</w:t>
            </w:r>
            <w:proofErr w:type="spellEnd"/>
          </w:p>
        </w:tc>
      </w:tr>
      <w:tr w:rsidR="00DD45A7" w14:paraId="37A7C0A4" w14:textId="77777777" w:rsidTr="00DD45A7">
        <w:tc>
          <w:tcPr>
            <w:tcW w:w="846" w:type="dxa"/>
          </w:tcPr>
          <w:p w14:paraId="5AFF8E2E" w14:textId="4D7C02E7" w:rsidR="00DD45A7" w:rsidRDefault="00DD45A7" w:rsidP="00DD45A7">
            <w:r>
              <w:t>[5]</w:t>
            </w:r>
          </w:p>
        </w:tc>
        <w:tc>
          <w:tcPr>
            <w:tcW w:w="1417" w:type="dxa"/>
          </w:tcPr>
          <w:p w14:paraId="18FE56E0" w14:textId="00616D61" w:rsidR="00DD45A7" w:rsidRDefault="00C51682" w:rsidP="00DD45A7">
            <w:hyperlink r:id="rId14" w:history="1">
              <w:r w:rsidR="00DD45A7" w:rsidRPr="00D45D46">
                <w:rPr>
                  <w:rFonts w:ascii="Calibri" w:hAnsi="Calibri" w:cs="Calibri"/>
                  <w:sz w:val="18"/>
                  <w:szCs w:val="24"/>
                  <w:highlight w:val="yellow"/>
                </w:rPr>
                <w:t>R3-240350</w:t>
              </w:r>
            </w:hyperlink>
          </w:p>
        </w:tc>
        <w:tc>
          <w:tcPr>
            <w:tcW w:w="4958" w:type="dxa"/>
          </w:tcPr>
          <w:p w14:paraId="705792E2" w14:textId="34ADE2AD" w:rsidR="00DD45A7" w:rsidRDefault="00DD45A7" w:rsidP="00DD45A7">
            <w:r w:rsidRPr="00D45D46">
              <w:rPr>
                <w:rFonts w:ascii="Calibri" w:hAnsi="Calibri" w:cs="Calibri"/>
                <w:sz w:val="18"/>
                <w:szCs w:val="24"/>
              </w:rPr>
              <w:t>Correction of switch to RRC connected after SDT Partial Context Transfer (Nokia, Nokia Shanghai Bell)</w:t>
            </w:r>
          </w:p>
        </w:tc>
        <w:tc>
          <w:tcPr>
            <w:tcW w:w="2408" w:type="dxa"/>
          </w:tcPr>
          <w:p w14:paraId="6AAADB30" w14:textId="0DDDE8C9" w:rsidR="00DD45A7" w:rsidRDefault="00DD45A7" w:rsidP="00DD45A7">
            <w:r w:rsidRPr="00D45D46">
              <w:rPr>
                <w:rFonts w:ascii="Calibri" w:hAnsi="Calibri" w:cs="Calibri"/>
                <w:sz w:val="18"/>
                <w:szCs w:val="24"/>
              </w:rPr>
              <w:t>CR1161r, TS 38.423 v18.0.0, Rel-18, Cat. F</w:t>
            </w:r>
          </w:p>
        </w:tc>
      </w:tr>
      <w:tr w:rsidR="00DD45A7" w14:paraId="2899BCE9" w14:textId="77777777" w:rsidTr="00DD45A7">
        <w:tc>
          <w:tcPr>
            <w:tcW w:w="846" w:type="dxa"/>
          </w:tcPr>
          <w:p w14:paraId="39962540" w14:textId="4020F0BB" w:rsidR="00DD45A7" w:rsidRDefault="00DD45A7" w:rsidP="00DD45A7">
            <w:r>
              <w:t>[6]</w:t>
            </w:r>
          </w:p>
        </w:tc>
        <w:tc>
          <w:tcPr>
            <w:tcW w:w="1417" w:type="dxa"/>
          </w:tcPr>
          <w:p w14:paraId="501FE1A4" w14:textId="15381208" w:rsidR="00DD45A7" w:rsidRDefault="00C51682" w:rsidP="00DD45A7">
            <w:hyperlink r:id="rId15" w:history="1">
              <w:r w:rsidR="00DD45A7" w:rsidRPr="00D45D46">
                <w:rPr>
                  <w:rFonts w:ascii="Calibri" w:hAnsi="Calibri" w:cs="Calibri"/>
                  <w:sz w:val="18"/>
                  <w:szCs w:val="24"/>
                  <w:highlight w:val="yellow"/>
                </w:rPr>
                <w:t>R3-240351</w:t>
              </w:r>
            </w:hyperlink>
          </w:p>
        </w:tc>
        <w:tc>
          <w:tcPr>
            <w:tcW w:w="4958" w:type="dxa"/>
          </w:tcPr>
          <w:p w14:paraId="72201ECD" w14:textId="23187A6D" w:rsidR="00DD45A7" w:rsidRDefault="00DD45A7" w:rsidP="00DD45A7">
            <w:r w:rsidRPr="00D45D46">
              <w:rPr>
                <w:rFonts w:ascii="Calibri" w:hAnsi="Calibri" w:cs="Calibri"/>
                <w:sz w:val="18"/>
                <w:szCs w:val="24"/>
              </w:rPr>
              <w:t>Response LS on SDT signalling optimization for partial context transfer (Nokia, Nokia Shanghai Bell)</w:t>
            </w:r>
          </w:p>
        </w:tc>
        <w:tc>
          <w:tcPr>
            <w:tcW w:w="2408" w:type="dxa"/>
          </w:tcPr>
          <w:p w14:paraId="554A9096" w14:textId="7D1D5FF1" w:rsidR="00DD45A7" w:rsidRDefault="00DD45A7" w:rsidP="00DD45A7">
            <w:r w:rsidRPr="00D45D46">
              <w:rPr>
                <w:rFonts w:ascii="Calibri" w:hAnsi="Calibri" w:cs="Calibri"/>
                <w:sz w:val="18"/>
                <w:szCs w:val="24"/>
              </w:rPr>
              <w:t xml:space="preserve">LS out </w:t>
            </w:r>
            <w:proofErr w:type="gramStart"/>
            <w:r w:rsidRPr="00D45D46">
              <w:rPr>
                <w:rFonts w:ascii="Calibri" w:hAnsi="Calibri" w:cs="Calibri"/>
                <w:sz w:val="18"/>
                <w:szCs w:val="24"/>
              </w:rPr>
              <w:t>To</w:t>
            </w:r>
            <w:proofErr w:type="gramEnd"/>
            <w:r w:rsidRPr="00D45D46">
              <w:rPr>
                <w:rFonts w:ascii="Calibri" w:hAnsi="Calibri" w:cs="Calibri"/>
                <w:sz w:val="18"/>
                <w:szCs w:val="24"/>
              </w:rPr>
              <w:t xml:space="preserve">: RAN2 CC: </w:t>
            </w:r>
          </w:p>
        </w:tc>
      </w:tr>
      <w:tr w:rsidR="00DD45A7" w14:paraId="52133D02" w14:textId="77777777" w:rsidTr="00DD45A7">
        <w:tc>
          <w:tcPr>
            <w:tcW w:w="846" w:type="dxa"/>
          </w:tcPr>
          <w:p w14:paraId="2CF0F822" w14:textId="03899A56" w:rsidR="00DD45A7" w:rsidRDefault="00DD45A7" w:rsidP="00DD45A7">
            <w:r>
              <w:t>[7]</w:t>
            </w:r>
          </w:p>
        </w:tc>
        <w:tc>
          <w:tcPr>
            <w:tcW w:w="1417" w:type="dxa"/>
          </w:tcPr>
          <w:p w14:paraId="336C00C0" w14:textId="6AF6912A" w:rsidR="00DD45A7" w:rsidRDefault="00C51682" w:rsidP="00DD45A7">
            <w:hyperlink r:id="rId16" w:history="1">
              <w:r w:rsidR="00DD45A7" w:rsidRPr="00D45D46">
                <w:rPr>
                  <w:rFonts w:ascii="Calibri" w:hAnsi="Calibri" w:cs="Calibri"/>
                  <w:sz w:val="18"/>
                  <w:szCs w:val="24"/>
                  <w:highlight w:val="yellow"/>
                </w:rPr>
                <w:t>R3-240257</w:t>
              </w:r>
            </w:hyperlink>
          </w:p>
        </w:tc>
        <w:tc>
          <w:tcPr>
            <w:tcW w:w="4958" w:type="dxa"/>
          </w:tcPr>
          <w:p w14:paraId="51659BC4" w14:textId="102BF8C3" w:rsidR="00DD45A7" w:rsidRDefault="00DD45A7" w:rsidP="00DD45A7">
            <w:r w:rsidRPr="00D45D46">
              <w:rPr>
                <w:rFonts w:ascii="Calibri" w:hAnsi="Calibri" w:cs="Calibri"/>
                <w:sz w:val="18"/>
                <w:szCs w:val="24"/>
              </w:rPr>
              <w:t>Correction on SDT RRC Release with resume indication (Huawei, Qualcomm Incorporated, Lenovo)</w:t>
            </w:r>
          </w:p>
        </w:tc>
        <w:tc>
          <w:tcPr>
            <w:tcW w:w="2408" w:type="dxa"/>
          </w:tcPr>
          <w:p w14:paraId="42159C20" w14:textId="01F3181A" w:rsidR="00DD45A7" w:rsidRDefault="00DD45A7" w:rsidP="00DD45A7">
            <w:proofErr w:type="spellStart"/>
            <w:r w:rsidRPr="00D45D46">
              <w:rPr>
                <w:rFonts w:ascii="Calibri" w:hAnsi="Calibri" w:cs="Calibri"/>
                <w:sz w:val="18"/>
                <w:szCs w:val="24"/>
              </w:rPr>
              <w:t>draftCR</w:t>
            </w:r>
            <w:proofErr w:type="spellEnd"/>
          </w:p>
        </w:tc>
      </w:tr>
      <w:tr w:rsidR="00DD45A7" w14:paraId="69E66AB6" w14:textId="77777777" w:rsidTr="00DD45A7">
        <w:tc>
          <w:tcPr>
            <w:tcW w:w="846" w:type="dxa"/>
          </w:tcPr>
          <w:p w14:paraId="47185735" w14:textId="4D62D88B" w:rsidR="00DD45A7" w:rsidRDefault="00DD45A7" w:rsidP="00DD45A7">
            <w:r>
              <w:t>[8]</w:t>
            </w:r>
          </w:p>
        </w:tc>
        <w:tc>
          <w:tcPr>
            <w:tcW w:w="1417" w:type="dxa"/>
          </w:tcPr>
          <w:p w14:paraId="0BD67229" w14:textId="65F046F4" w:rsidR="00DD45A7" w:rsidRDefault="00C51682" w:rsidP="00DD45A7">
            <w:hyperlink r:id="rId17" w:history="1">
              <w:r w:rsidR="00DD45A7" w:rsidRPr="00D45D46">
                <w:rPr>
                  <w:rFonts w:ascii="Calibri" w:hAnsi="Calibri" w:cs="Calibri"/>
                  <w:sz w:val="18"/>
                  <w:szCs w:val="24"/>
                  <w:highlight w:val="yellow"/>
                </w:rPr>
                <w:t>R3-240258</w:t>
              </w:r>
            </w:hyperlink>
          </w:p>
        </w:tc>
        <w:tc>
          <w:tcPr>
            <w:tcW w:w="4958" w:type="dxa"/>
          </w:tcPr>
          <w:p w14:paraId="3CE64392" w14:textId="4DDEF09C" w:rsidR="00DD45A7" w:rsidRDefault="00DD45A7" w:rsidP="00DD45A7">
            <w:r w:rsidRPr="00D45D46">
              <w:rPr>
                <w:rFonts w:ascii="Calibri" w:hAnsi="Calibri" w:cs="Calibri"/>
                <w:sz w:val="18"/>
                <w:szCs w:val="24"/>
              </w:rPr>
              <w:t>Correction on SDT RRC Release with resume indication (Huawei, Qualcomm Incorporated, Lenovo)</w:t>
            </w:r>
          </w:p>
        </w:tc>
        <w:tc>
          <w:tcPr>
            <w:tcW w:w="2408" w:type="dxa"/>
          </w:tcPr>
          <w:p w14:paraId="68BB061D" w14:textId="7CC165B6" w:rsidR="00DD45A7" w:rsidRDefault="00DD45A7" w:rsidP="00DD45A7">
            <w:r w:rsidRPr="00D45D46">
              <w:rPr>
                <w:rFonts w:ascii="Calibri" w:hAnsi="Calibri" w:cs="Calibri"/>
                <w:sz w:val="18"/>
                <w:szCs w:val="24"/>
              </w:rPr>
              <w:t>CR0335r, TS 38.401 v18.0.0, Rel-18, Cat. F</w:t>
            </w:r>
          </w:p>
        </w:tc>
      </w:tr>
      <w:tr w:rsidR="00DD45A7" w14:paraId="7E4BC382" w14:textId="77777777" w:rsidTr="00DD45A7">
        <w:tc>
          <w:tcPr>
            <w:tcW w:w="846" w:type="dxa"/>
          </w:tcPr>
          <w:p w14:paraId="69EEBA72" w14:textId="33D2864F" w:rsidR="00DD45A7" w:rsidRDefault="00DD45A7" w:rsidP="00DD45A7">
            <w:r>
              <w:t>[9]</w:t>
            </w:r>
          </w:p>
        </w:tc>
        <w:tc>
          <w:tcPr>
            <w:tcW w:w="1417" w:type="dxa"/>
          </w:tcPr>
          <w:p w14:paraId="0673A84B" w14:textId="1FDF467A" w:rsidR="00DD45A7" w:rsidRPr="00D45D46" w:rsidRDefault="00C51682" w:rsidP="00DD45A7">
            <w:pPr>
              <w:rPr>
                <w:rFonts w:ascii="Calibri" w:hAnsi="Calibri" w:cs="Calibri"/>
                <w:sz w:val="18"/>
                <w:szCs w:val="24"/>
                <w:highlight w:val="yellow"/>
              </w:rPr>
            </w:pPr>
            <w:hyperlink r:id="rId18" w:history="1">
              <w:r w:rsidR="00DD45A7" w:rsidRPr="00D45D46">
                <w:rPr>
                  <w:rFonts w:ascii="Calibri" w:hAnsi="Calibri" w:cs="Calibri"/>
                  <w:sz w:val="18"/>
                  <w:szCs w:val="24"/>
                  <w:highlight w:val="yellow"/>
                </w:rPr>
                <w:t>R3-240565</w:t>
              </w:r>
            </w:hyperlink>
          </w:p>
        </w:tc>
        <w:tc>
          <w:tcPr>
            <w:tcW w:w="4958" w:type="dxa"/>
          </w:tcPr>
          <w:p w14:paraId="1E0C08E9" w14:textId="539F8631" w:rsidR="00DD45A7" w:rsidRPr="00D45D46" w:rsidRDefault="00DD45A7" w:rsidP="00DD45A7">
            <w:pPr>
              <w:rPr>
                <w:rFonts w:ascii="Calibri" w:hAnsi="Calibri" w:cs="Calibri"/>
                <w:sz w:val="18"/>
                <w:szCs w:val="24"/>
              </w:rPr>
            </w:pPr>
            <w:r w:rsidRPr="00D45D46">
              <w:rPr>
                <w:rFonts w:ascii="Calibri" w:hAnsi="Calibri" w:cs="Calibri"/>
                <w:sz w:val="18"/>
                <w:szCs w:val="24"/>
              </w:rPr>
              <w:t>Discussion on SDT signalling enhancement (Ericsson)</w:t>
            </w:r>
          </w:p>
        </w:tc>
        <w:tc>
          <w:tcPr>
            <w:tcW w:w="2408" w:type="dxa"/>
          </w:tcPr>
          <w:p w14:paraId="4EBE86F2" w14:textId="29EBF7C5" w:rsidR="00DD45A7" w:rsidRPr="00D45D46" w:rsidRDefault="00DD45A7" w:rsidP="00DD45A7">
            <w:pPr>
              <w:rPr>
                <w:rFonts w:ascii="Calibri" w:hAnsi="Calibri" w:cs="Calibri"/>
                <w:sz w:val="18"/>
                <w:szCs w:val="24"/>
              </w:rPr>
            </w:pPr>
            <w:r w:rsidRPr="00D45D46">
              <w:rPr>
                <w:rFonts w:ascii="Calibri" w:hAnsi="Calibri" w:cs="Calibri"/>
                <w:sz w:val="18"/>
                <w:szCs w:val="24"/>
              </w:rPr>
              <w:t>discussion</w:t>
            </w:r>
          </w:p>
        </w:tc>
      </w:tr>
      <w:tr w:rsidR="00DD45A7" w14:paraId="1E01799E" w14:textId="77777777" w:rsidTr="00DD45A7">
        <w:tc>
          <w:tcPr>
            <w:tcW w:w="846" w:type="dxa"/>
          </w:tcPr>
          <w:p w14:paraId="04EEEBD6" w14:textId="45ADCFE0" w:rsidR="00DD45A7" w:rsidRDefault="00DD45A7" w:rsidP="00DD45A7">
            <w:r>
              <w:t>[10]</w:t>
            </w:r>
          </w:p>
        </w:tc>
        <w:tc>
          <w:tcPr>
            <w:tcW w:w="1417" w:type="dxa"/>
          </w:tcPr>
          <w:p w14:paraId="5CDA2783" w14:textId="5C8CFE9B" w:rsidR="00DD45A7" w:rsidRPr="00D45D46" w:rsidRDefault="00C51682" w:rsidP="00DD45A7">
            <w:pPr>
              <w:rPr>
                <w:rFonts w:ascii="Calibri" w:hAnsi="Calibri" w:cs="Calibri"/>
                <w:sz w:val="18"/>
                <w:szCs w:val="24"/>
                <w:highlight w:val="yellow"/>
              </w:rPr>
            </w:pPr>
            <w:hyperlink r:id="rId19" w:history="1">
              <w:r w:rsidR="00DD45A7" w:rsidRPr="00D45D46">
                <w:rPr>
                  <w:rFonts w:ascii="Calibri" w:hAnsi="Calibri" w:cs="Calibri"/>
                  <w:sz w:val="18"/>
                  <w:szCs w:val="24"/>
                  <w:highlight w:val="yellow"/>
                </w:rPr>
                <w:t>R3-240566</w:t>
              </w:r>
            </w:hyperlink>
          </w:p>
        </w:tc>
        <w:tc>
          <w:tcPr>
            <w:tcW w:w="4958" w:type="dxa"/>
          </w:tcPr>
          <w:p w14:paraId="382AC453" w14:textId="2810696F" w:rsidR="00DD45A7" w:rsidRPr="00D45D46" w:rsidRDefault="00DD45A7" w:rsidP="00DD45A7">
            <w:pPr>
              <w:rPr>
                <w:rFonts w:ascii="Calibri" w:hAnsi="Calibri" w:cs="Calibri"/>
                <w:sz w:val="18"/>
                <w:szCs w:val="24"/>
              </w:rPr>
            </w:pPr>
            <w:r w:rsidRPr="00D45D46">
              <w:rPr>
                <w:rFonts w:ascii="Calibri" w:hAnsi="Calibri" w:cs="Calibri"/>
                <w:sz w:val="18"/>
                <w:szCs w:val="24"/>
              </w:rPr>
              <w:t>SDT context retrieval re-Request (Ericsson)</w:t>
            </w:r>
          </w:p>
        </w:tc>
        <w:tc>
          <w:tcPr>
            <w:tcW w:w="2408" w:type="dxa"/>
          </w:tcPr>
          <w:p w14:paraId="5BBA8808" w14:textId="18A99B19" w:rsidR="00DD45A7" w:rsidRPr="00D45D46" w:rsidRDefault="00DD45A7" w:rsidP="00DD45A7">
            <w:pPr>
              <w:rPr>
                <w:rFonts w:ascii="Calibri" w:hAnsi="Calibri" w:cs="Calibri"/>
                <w:sz w:val="18"/>
                <w:szCs w:val="24"/>
              </w:rPr>
            </w:pPr>
            <w:r w:rsidRPr="00D45D46">
              <w:rPr>
                <w:rFonts w:ascii="Calibri" w:hAnsi="Calibri" w:cs="Calibri"/>
                <w:sz w:val="18"/>
                <w:szCs w:val="24"/>
              </w:rPr>
              <w:t>CR1190r, TS 38.423 v18.0.0, Rel-18, Cat. B</w:t>
            </w:r>
          </w:p>
        </w:tc>
      </w:tr>
      <w:tr w:rsidR="00DD45A7" w14:paraId="43F67C9F" w14:textId="77777777" w:rsidTr="00DD45A7">
        <w:tc>
          <w:tcPr>
            <w:tcW w:w="846" w:type="dxa"/>
          </w:tcPr>
          <w:p w14:paraId="713A4ABF" w14:textId="61E83E6A" w:rsidR="00DD45A7" w:rsidRDefault="00DD45A7" w:rsidP="00DD45A7">
            <w:r>
              <w:t>[11]</w:t>
            </w:r>
          </w:p>
        </w:tc>
        <w:tc>
          <w:tcPr>
            <w:tcW w:w="1417" w:type="dxa"/>
          </w:tcPr>
          <w:p w14:paraId="645268F0" w14:textId="3DAFC468" w:rsidR="00DD45A7" w:rsidRPr="00D45D46" w:rsidRDefault="00C51682" w:rsidP="00DD45A7">
            <w:pPr>
              <w:rPr>
                <w:rFonts w:ascii="Calibri" w:hAnsi="Calibri" w:cs="Calibri"/>
                <w:sz w:val="18"/>
                <w:szCs w:val="24"/>
                <w:highlight w:val="yellow"/>
              </w:rPr>
            </w:pPr>
            <w:hyperlink r:id="rId20" w:history="1">
              <w:r w:rsidR="00DD45A7" w:rsidRPr="00D45D46">
                <w:rPr>
                  <w:rFonts w:ascii="Calibri" w:hAnsi="Calibri" w:cs="Calibri"/>
                  <w:sz w:val="18"/>
                  <w:szCs w:val="24"/>
                  <w:highlight w:val="yellow"/>
                </w:rPr>
                <w:t>R3-240567</w:t>
              </w:r>
            </w:hyperlink>
          </w:p>
        </w:tc>
        <w:tc>
          <w:tcPr>
            <w:tcW w:w="4958" w:type="dxa"/>
          </w:tcPr>
          <w:p w14:paraId="48909A3A" w14:textId="1B0E97B6" w:rsidR="00DD45A7" w:rsidRPr="00D45D46" w:rsidRDefault="00DD45A7" w:rsidP="00DD45A7">
            <w:pPr>
              <w:rPr>
                <w:rFonts w:ascii="Calibri" w:hAnsi="Calibri" w:cs="Calibri"/>
                <w:sz w:val="18"/>
                <w:szCs w:val="24"/>
              </w:rPr>
            </w:pPr>
            <w:r w:rsidRPr="00D45D46">
              <w:rPr>
                <w:rFonts w:ascii="Calibri" w:hAnsi="Calibri" w:cs="Calibri"/>
                <w:sz w:val="18"/>
                <w:szCs w:val="24"/>
              </w:rPr>
              <w:t>Update of Note 1a in SDT procedure (Ericsson)</w:t>
            </w:r>
          </w:p>
        </w:tc>
        <w:tc>
          <w:tcPr>
            <w:tcW w:w="2408" w:type="dxa"/>
          </w:tcPr>
          <w:p w14:paraId="6E797125" w14:textId="19DED100" w:rsidR="00DD45A7" w:rsidRPr="00D45D46" w:rsidRDefault="00DD45A7" w:rsidP="00DD45A7">
            <w:pPr>
              <w:rPr>
                <w:rFonts w:ascii="Calibri" w:hAnsi="Calibri" w:cs="Calibri"/>
                <w:sz w:val="18"/>
                <w:szCs w:val="24"/>
              </w:rPr>
            </w:pPr>
            <w:proofErr w:type="spellStart"/>
            <w:r w:rsidRPr="00D45D46">
              <w:rPr>
                <w:rFonts w:ascii="Calibri" w:hAnsi="Calibri" w:cs="Calibri"/>
                <w:sz w:val="18"/>
                <w:szCs w:val="24"/>
              </w:rPr>
              <w:t>draftCR</w:t>
            </w:r>
            <w:proofErr w:type="spellEnd"/>
          </w:p>
        </w:tc>
      </w:tr>
      <w:tr w:rsidR="00DD45A7" w14:paraId="7CB48D9E" w14:textId="77777777" w:rsidTr="00DD45A7">
        <w:tc>
          <w:tcPr>
            <w:tcW w:w="846" w:type="dxa"/>
          </w:tcPr>
          <w:p w14:paraId="556692F9" w14:textId="77777777" w:rsidR="00DD45A7" w:rsidRDefault="00DD45A7" w:rsidP="00DD45A7"/>
        </w:tc>
        <w:tc>
          <w:tcPr>
            <w:tcW w:w="1417" w:type="dxa"/>
          </w:tcPr>
          <w:p w14:paraId="5B212D1A" w14:textId="77777777" w:rsidR="00DD45A7" w:rsidRPr="00D45D46" w:rsidRDefault="00DD45A7" w:rsidP="00DD45A7">
            <w:pPr>
              <w:rPr>
                <w:rFonts w:ascii="Calibri" w:hAnsi="Calibri" w:cs="Calibri"/>
                <w:sz w:val="18"/>
                <w:szCs w:val="24"/>
                <w:highlight w:val="yellow"/>
              </w:rPr>
            </w:pPr>
          </w:p>
        </w:tc>
        <w:tc>
          <w:tcPr>
            <w:tcW w:w="4958" w:type="dxa"/>
          </w:tcPr>
          <w:p w14:paraId="22CC25B3" w14:textId="77777777" w:rsidR="00DD45A7" w:rsidRPr="00D45D46" w:rsidRDefault="00DD45A7" w:rsidP="00DD45A7">
            <w:pPr>
              <w:rPr>
                <w:rFonts w:ascii="Calibri" w:hAnsi="Calibri" w:cs="Calibri"/>
                <w:sz w:val="18"/>
                <w:szCs w:val="24"/>
              </w:rPr>
            </w:pPr>
          </w:p>
        </w:tc>
        <w:tc>
          <w:tcPr>
            <w:tcW w:w="2408" w:type="dxa"/>
          </w:tcPr>
          <w:p w14:paraId="0CCF030C" w14:textId="77777777" w:rsidR="00DD45A7" w:rsidRPr="00D45D46" w:rsidRDefault="00DD45A7" w:rsidP="00DD45A7">
            <w:pPr>
              <w:rPr>
                <w:rFonts w:ascii="Calibri" w:hAnsi="Calibri" w:cs="Calibri"/>
                <w:sz w:val="18"/>
                <w:szCs w:val="24"/>
              </w:rPr>
            </w:pPr>
          </w:p>
        </w:tc>
      </w:tr>
    </w:tbl>
    <w:p w14:paraId="4773E7B0" w14:textId="37B5F5B2" w:rsidR="00DD45A7" w:rsidRDefault="00DD45A7" w:rsidP="00DD45A7"/>
    <w:p w14:paraId="5A9F90DE" w14:textId="3685815F" w:rsidR="00DD45A7" w:rsidRDefault="00DD45A7" w:rsidP="00DD45A7"/>
    <w:p w14:paraId="3AC0E27E" w14:textId="77777777" w:rsidR="00DD45A7" w:rsidRPr="00DD45A7" w:rsidRDefault="00DD45A7" w:rsidP="00DD45A7"/>
    <w:p w14:paraId="646B018F" w14:textId="544B19FA" w:rsidR="005C0A63" w:rsidRDefault="005C0A63" w:rsidP="00C945DB">
      <w:pPr>
        <w:pStyle w:val="Proposallist"/>
        <w:rPr>
          <w:lang w:eastAsia="zh-CN"/>
        </w:rPr>
      </w:pPr>
    </w:p>
    <w:sectPr w:rsidR="005C0A63"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AF33" w14:textId="77777777" w:rsidR="00C51682" w:rsidRDefault="00C51682">
      <w:r>
        <w:separator/>
      </w:r>
    </w:p>
  </w:endnote>
  <w:endnote w:type="continuationSeparator" w:id="0">
    <w:p w14:paraId="4374DCBA" w14:textId="77777777" w:rsidR="00C51682" w:rsidRDefault="00C5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112B" w14:textId="77777777" w:rsidR="00C51682" w:rsidRDefault="00C51682">
      <w:r>
        <w:separator/>
      </w:r>
    </w:p>
  </w:footnote>
  <w:footnote w:type="continuationSeparator" w:id="0">
    <w:p w14:paraId="3ED42706" w14:textId="77777777" w:rsidR="00C51682" w:rsidRDefault="00C5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4C5C78"/>
    <w:multiLevelType w:val="hybridMultilevel"/>
    <w:tmpl w:val="CBD2B844"/>
    <w:lvl w:ilvl="0" w:tplc="D5665A6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920234B"/>
    <w:multiLevelType w:val="hybridMultilevel"/>
    <w:tmpl w:val="68F01D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4"/>
  </w:num>
  <w:num w:numId="14">
    <w:abstractNumId w:val="13"/>
  </w:num>
  <w:num w:numId="15">
    <w:abstractNumId w:val="12"/>
  </w:num>
  <w:num w:numId="16">
    <w:abstractNumId w:val="12"/>
    <w:lvlOverride w:ilvl="0">
      <w:startOverride w:val="1"/>
    </w:lvlOverride>
  </w:num>
  <w:num w:numId="17">
    <w:abstractNumId w:val="16"/>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0CD7"/>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1675A"/>
    <w:rsid w:val="002218D6"/>
    <w:rsid w:val="0026004D"/>
    <w:rsid w:val="00262C39"/>
    <w:rsid w:val="002636A7"/>
    <w:rsid w:val="00274611"/>
    <w:rsid w:val="0027588B"/>
    <w:rsid w:val="00275D12"/>
    <w:rsid w:val="002769EB"/>
    <w:rsid w:val="002860C4"/>
    <w:rsid w:val="002A000B"/>
    <w:rsid w:val="002A37C8"/>
    <w:rsid w:val="002A47EF"/>
    <w:rsid w:val="002B23F9"/>
    <w:rsid w:val="002B24C6"/>
    <w:rsid w:val="002B5741"/>
    <w:rsid w:val="002B5B7A"/>
    <w:rsid w:val="002C238A"/>
    <w:rsid w:val="002D7691"/>
    <w:rsid w:val="002E595A"/>
    <w:rsid w:val="00305409"/>
    <w:rsid w:val="00317204"/>
    <w:rsid w:val="00337ABE"/>
    <w:rsid w:val="0035319E"/>
    <w:rsid w:val="00353346"/>
    <w:rsid w:val="00376EE0"/>
    <w:rsid w:val="00384AE4"/>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07FF"/>
    <w:rsid w:val="004A1950"/>
    <w:rsid w:val="004A20E3"/>
    <w:rsid w:val="004B75B7"/>
    <w:rsid w:val="004F242B"/>
    <w:rsid w:val="004F7412"/>
    <w:rsid w:val="00501900"/>
    <w:rsid w:val="005124D6"/>
    <w:rsid w:val="0051580D"/>
    <w:rsid w:val="00520062"/>
    <w:rsid w:val="00533072"/>
    <w:rsid w:val="00540E46"/>
    <w:rsid w:val="00564BDC"/>
    <w:rsid w:val="00581363"/>
    <w:rsid w:val="00581960"/>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589C"/>
    <w:rsid w:val="006760A7"/>
    <w:rsid w:val="006804C7"/>
    <w:rsid w:val="006848B8"/>
    <w:rsid w:val="00695808"/>
    <w:rsid w:val="006A5614"/>
    <w:rsid w:val="006B46FB"/>
    <w:rsid w:val="006D56BC"/>
    <w:rsid w:val="006E21FB"/>
    <w:rsid w:val="006E74F4"/>
    <w:rsid w:val="006F5D71"/>
    <w:rsid w:val="0071052A"/>
    <w:rsid w:val="00711130"/>
    <w:rsid w:val="00713547"/>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4813"/>
    <w:rsid w:val="007C7E00"/>
    <w:rsid w:val="007D6A07"/>
    <w:rsid w:val="007E4113"/>
    <w:rsid w:val="007E5FC8"/>
    <w:rsid w:val="00805D95"/>
    <w:rsid w:val="008227DB"/>
    <w:rsid w:val="008279FA"/>
    <w:rsid w:val="00845D17"/>
    <w:rsid w:val="008579E4"/>
    <w:rsid w:val="008626E7"/>
    <w:rsid w:val="00870EE7"/>
    <w:rsid w:val="00894031"/>
    <w:rsid w:val="008B1F20"/>
    <w:rsid w:val="008C4751"/>
    <w:rsid w:val="008F686C"/>
    <w:rsid w:val="009017EE"/>
    <w:rsid w:val="00913222"/>
    <w:rsid w:val="00913548"/>
    <w:rsid w:val="00916443"/>
    <w:rsid w:val="00917C9F"/>
    <w:rsid w:val="00936638"/>
    <w:rsid w:val="0095398D"/>
    <w:rsid w:val="00955FBC"/>
    <w:rsid w:val="00956441"/>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37739"/>
    <w:rsid w:val="00A47E70"/>
    <w:rsid w:val="00A53AEF"/>
    <w:rsid w:val="00A621CA"/>
    <w:rsid w:val="00A6623A"/>
    <w:rsid w:val="00A67881"/>
    <w:rsid w:val="00A7671C"/>
    <w:rsid w:val="00AB00C3"/>
    <w:rsid w:val="00AB1244"/>
    <w:rsid w:val="00AB533B"/>
    <w:rsid w:val="00AC59F6"/>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1682"/>
    <w:rsid w:val="00C5481B"/>
    <w:rsid w:val="00C573F0"/>
    <w:rsid w:val="00C74ED2"/>
    <w:rsid w:val="00C945DB"/>
    <w:rsid w:val="00C95985"/>
    <w:rsid w:val="00C95B80"/>
    <w:rsid w:val="00CA2A9E"/>
    <w:rsid w:val="00CA6304"/>
    <w:rsid w:val="00CB512D"/>
    <w:rsid w:val="00CC5026"/>
    <w:rsid w:val="00CE5C0E"/>
    <w:rsid w:val="00D03F9A"/>
    <w:rsid w:val="00D104E0"/>
    <w:rsid w:val="00D157AF"/>
    <w:rsid w:val="00D202FA"/>
    <w:rsid w:val="00D35F6F"/>
    <w:rsid w:val="00D53422"/>
    <w:rsid w:val="00D608C3"/>
    <w:rsid w:val="00D6170D"/>
    <w:rsid w:val="00D63018"/>
    <w:rsid w:val="00D95B9C"/>
    <w:rsid w:val="00D96016"/>
    <w:rsid w:val="00DB66FE"/>
    <w:rsid w:val="00DD45A7"/>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C34E4"/>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7135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64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3\Docs\R3-240349.zip" TargetMode="External"/><Relationship Id="rId18" Type="http://schemas.openxmlformats.org/officeDocument/2006/relationships/hyperlink" Target="file:///D:\&#20250;&#35758;&#30828;&#30424;\TSGR3_123\Docs\R3-240565.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D:\&#20250;&#35758;&#30828;&#30424;\TSGR3_123\Docs\R3-240348.zip" TargetMode="External"/><Relationship Id="rId17" Type="http://schemas.openxmlformats.org/officeDocument/2006/relationships/hyperlink" Target="file:///D:\&#20250;&#35758;&#30828;&#30424;\TSGR3_123\Docs\R3-240258.zip" TargetMode="External"/><Relationship Id="rId2" Type="http://schemas.openxmlformats.org/officeDocument/2006/relationships/customXml" Target="../customXml/item1.xml"/><Relationship Id="rId16" Type="http://schemas.openxmlformats.org/officeDocument/2006/relationships/hyperlink" Target="file:///D:\&#20250;&#35758;&#30828;&#30424;\TSGR3_123\Docs\R3-240257.zip" TargetMode="External"/><Relationship Id="rId20" Type="http://schemas.openxmlformats.org/officeDocument/2006/relationships/hyperlink" Target="file:///D:\&#20250;&#35758;&#30828;&#30424;\TSGR3_123\Docs\R3-24056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0250;&#35758;&#30828;&#30424;\TSGR3_123\Docs\R3-240221.zip" TargetMode="External"/><Relationship Id="rId5" Type="http://schemas.openxmlformats.org/officeDocument/2006/relationships/settings" Target="settings.xml"/><Relationship Id="rId15" Type="http://schemas.openxmlformats.org/officeDocument/2006/relationships/hyperlink" Target="file:///D:\&#20250;&#35758;&#30828;&#30424;\TSGR3_123\Docs\R3-240351.zip" TargetMode="External"/><Relationship Id="rId23" Type="http://schemas.openxmlformats.org/officeDocument/2006/relationships/theme" Target="theme/theme1.xml"/><Relationship Id="rId10" Type="http://schemas.openxmlformats.org/officeDocument/2006/relationships/hyperlink" Target="file:///D:\&#20250;&#35758;&#30828;&#30424;\TSGR3_123\Docs\R3-240015.zip" TargetMode="External"/><Relationship Id="rId19" Type="http://schemas.openxmlformats.org/officeDocument/2006/relationships/hyperlink" Target="file:///D:\&#20250;&#35758;&#30828;&#30424;\TSGR3_123\Docs\R3-24056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D:\&#20250;&#35758;&#30828;&#30424;\TSGR3_123\Docs\R3-24035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5C5CA-EA34-43B6-9A97-9D6E433BE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32</cp:revision>
  <cp:lastPrinted>1899-12-31T23:00:00Z</cp:lastPrinted>
  <dcterms:created xsi:type="dcterms:W3CDTF">2023-05-25T08:03:00Z</dcterms:created>
  <dcterms:modified xsi:type="dcterms:W3CDTF">2024-02-23T02:34:00Z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(3)UlZvhDWhptXiYrqVBZBUaYaONORVQQGmSnWA5tdkvrDu1S11GJhQ8+iwaWA/9tYU8+iXO1Yu
L8jfCtZianFiMCUE7ONpnLf7Dvq12tP5secVvdeeKCRVh6MsVFCLNMmc+m3XwZefBk4UGUCc
B9d/yqcDIIV395DcO6eil9QO6lh26CAfnow6cXRvrMDx4+SPKS6vSqDMtJTL/U1wlBnMARS6
nbiFPq0GRMdIDutLyz</vt:lpwstr>
  </property>
  <property fmtid="{D5CDD505-2E9C-101B-9397-08002B2CF9AE}" pid="4" name="_2015_ms_pID_7253431">
    <vt:lpwstr>6XvlkueMq+SSSNZKq5LwoCO5IbByWqyUTNMtuLyLfJ0aD5fSCO9yzA
tTk4XOEWxqai5JP9ihPx5utBlMhOLr+mkkgfmLZdXNXNMruS2WfUpFnagzDxcNxtzBvjCMMy
lZak8PFR1CWiwy4eSxwZkuD1xLzbwYYE7LQ5Pa4fmMRHL5bUbmxNE4rgzM5IIHFqoVJ4Macv
vQ4i5kWw9MDs7FmTGj0+QVLepMqK6tId9hD6</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1704449318</vt:lpwstr>
  </property>
</Properties>
</file>